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Comic Sans MS" w:cs="Comic Sans MS" w:hAnsi="Comic Sans MS"/>
          <w:b/>
          <w:bCs/>
          <w:sz w:val="28"/>
          <w:szCs w:val="28"/>
        </w:rPr>
        <w:t>ESTANCADOS</w:t>
      </w:r>
      <w:r>
        <w:rPr>
          <w:rFonts w:ascii="Comic Sans MS" w:cs="Comic Sans MS" w:hAnsi="Comic Sans MS"/>
          <w:sz w:val="24"/>
          <w:szCs w:val="24"/>
        </w:rPr>
        <w:tab/>
      </w:r>
    </w:p>
    <w:p>
      <w:pPr>
        <w:pStyle w:val="style0"/>
        <w:jc w:val="both"/>
      </w:pPr>
      <w:r>
        <w:rPr>
          <w:rFonts w:ascii="Comic Sans MS" w:cs="Comic Sans MS" w:hAnsi="Comic Sans MS"/>
        </w:rPr>
        <w:tab/>
      </w:r>
    </w:p>
    <w:p>
      <w:pPr>
        <w:pStyle w:val="style0"/>
        <w:jc w:val="both"/>
      </w:pPr>
      <w:r>
        <w:rPr/>
        <w:tab/>
      </w:r>
      <w:r>
        <w:rPr>
          <w:rFonts w:ascii="Comic Sans MS" w:cs="Comic Sans MS" w:hAnsi="Comic Sans MS"/>
        </w:rPr>
        <w:t>El Papa Francisco está repitiendo que los miedos, las dudas, la falta de audacia... pueden impedir de raíz impulsar la renovación que necesita hoy la Iglesia. En su Exhortación “La alegría del Evangelio” llega a decir que, si quedamos paralizados por el miedo, una vez más podemos quedarnos simplemente en “espectadores de un estancamiento infecundo de la Iglesia”.</w:t>
      </w:r>
    </w:p>
    <w:p>
      <w:pPr>
        <w:pStyle w:val="style0"/>
        <w:jc w:val="both"/>
      </w:pPr>
      <w:r>
        <w:rPr>
          <w:rFonts w:ascii="Comic Sans MS" w:cs="Comic Sans MS" w:hAnsi="Comic Sans MS"/>
        </w:rPr>
        <w:tab/>
        <w:t>Sus palabras hacen pensar. ¿Qué podemos percibir entre nosotros? ¿ Nos estamos movilizando para reavivar la fe de nuestras comunidades cristianas, o seguimos instalados en ese “estancamiento infecundo” del que habla Francisco? ¿Dónde podemos encontrar fuerzas para reaccionar?</w:t>
      </w:r>
    </w:p>
    <w:p>
      <w:pPr>
        <w:pStyle w:val="style0"/>
        <w:jc w:val="both"/>
      </w:pPr>
      <w:r>
        <w:rPr>
          <w:rFonts w:ascii="Comic Sans MS" w:cs="Comic Sans MS" w:hAnsi="Comic Sans MS"/>
        </w:rPr>
        <w:tab/>
        <w:t>Una de las grandes aportaciones del Concilio fue impulsar el paso desde la “misa”, entendida como una obligación individual para cumplir un precepto sagrado, hacia la “eucaristía” vivida como celebración gozosa de toda la comunidad para alimentar su fe, crecer en fraternidad y reavivar su esperanza en Cristo.</w:t>
      </w:r>
    </w:p>
    <w:p>
      <w:pPr>
        <w:pStyle w:val="style0"/>
        <w:jc w:val="both"/>
      </w:pPr>
      <w:r>
        <w:rPr>
          <w:rFonts w:ascii="Comic Sans MS" w:cs="Comic Sans MS" w:hAnsi="Comic Sans MS"/>
        </w:rPr>
        <w:tab/>
        <w:t>Sin duda, a lo largo de estos años, hemos dado pasos muy importantes. Quedan muy lejos aquellas misas celebradas en latín en las que el sacerdote “decía” la misa y el pueblo cristiano venía a “oír” la misa o “asistir” a la celebración. Pero, ¿no estamos celebrando la eucaristía de manera rutinaria y aburrida?</w:t>
      </w:r>
    </w:p>
    <w:p>
      <w:pPr>
        <w:pStyle w:val="style0"/>
        <w:jc w:val="both"/>
      </w:pPr>
      <w:r>
        <w:rPr>
          <w:rFonts w:ascii="Comic Sans MS" w:cs="Comic Sans MS" w:hAnsi="Comic Sans MS"/>
        </w:rPr>
        <w:tab/>
        <w:t>Hay un hecho innegable. La gente se está alejando de manera imparable de la práctica dominical porque no encuentra en nuestras celebraciones el clima, la palabra clara, el rito expresivo, la acogida estimulante que necesita para alimentar su fe débil y vacilante.</w:t>
      </w:r>
    </w:p>
    <w:p>
      <w:pPr>
        <w:pStyle w:val="style0"/>
        <w:jc w:val="both"/>
      </w:pPr>
      <w:r>
        <w:rPr>
          <w:rFonts w:ascii="Comic Sans MS" w:cs="Comic Sans MS" w:hAnsi="Comic Sans MS"/>
        </w:rPr>
        <w:tab/>
        <w:t>Sin duda, todos, pastores y creyentes, nos hemos de preguntar qué estamos haciendo para que la eucaristía sea, como quiere el Concilio, “centro y cumbre de toda la vida de la comunidad cristiana”. Pero, ¿basta la buena voluntad de las parroquias o la creatividad aislada de algunos, sin  más criterios de renovación?</w:t>
      </w:r>
    </w:p>
    <w:p>
      <w:pPr>
        <w:pStyle w:val="style0"/>
        <w:jc w:val="both"/>
      </w:pPr>
      <w:r>
        <w:rPr>
          <w:rFonts w:ascii="Comic Sans MS" w:cs="Comic Sans MS" w:hAnsi="Comic Sans MS"/>
        </w:rPr>
        <w:tab/>
        <w:t>La Cena del Señor es demasiado importante para que dejemos que se siga “perdiendo”, como “espectadores de un estancamiento infecundo” ¿No es la eucaristía el centro de la vida cristiana”. ¿Cómo permanece tan callada e inmóvil la jerarquía? ¿Por qué los creyentes no manifestamos nuestra preocupación y nuestro dolor con más fuerza?</w:t>
        <w:tab/>
      </w:r>
    </w:p>
    <w:p>
      <w:pPr>
        <w:pStyle w:val="style0"/>
        <w:jc w:val="both"/>
      </w:pPr>
      <w:r>
        <w:rPr>
          <w:rFonts w:ascii="Comic Sans MS" w:cs="Comic Sans MS" w:hAnsi="Comic Sans MS"/>
        </w:rPr>
        <w:tab/>
        <w:t>El problema es grave. ¿Hemos de seguir “estancados” en un modo de celebración eucarística, tan poco atractivo para los hombres y mujeres de hoy? ¿Es esta liturgia que venimos repitiendo desde hace siglos la que mejor puede ayudarnos a actualizar aquella cena memorable de Jesús donde se concentra  de modo admirable el núcleo de nuestra fe?</w:t>
      </w:r>
    </w:p>
    <w:p>
      <w:pPr>
        <w:pStyle w:val="style0"/>
        <w:jc w:val="both"/>
      </w:pPr>
      <w:r>
        <w:rPr>
          <w:rFonts w:ascii="Comic Sans MS" w:cs="Comic Sans MS" w:hAnsi="Comic Sans MS"/>
        </w:rPr>
      </w:r>
    </w:p>
    <w:p>
      <w:pPr>
        <w:pStyle w:val="style0"/>
        <w:jc w:val="center"/>
      </w:pPr>
      <w:r>
        <w:rPr>
          <w:rFonts w:ascii="Comic Sans MS" w:cs="Comic Sans MS" w:hAnsi="Comic Sans MS"/>
          <w:sz w:val="24"/>
          <w:szCs w:val="24"/>
        </w:rPr>
        <w:t>José Antonio Pagola</w:t>
      </w:r>
    </w:p>
    <w:p>
      <w:pPr>
        <w:pStyle w:val="style0"/>
        <w:jc w:val="center"/>
      </w:pPr>
      <w:r>
        <w:rPr>
          <w:rFonts w:ascii="Comic Sans MS" w:cs="Comic Sans MS" w:hAnsi="Comic Sans MS"/>
          <w:b w:val="false"/>
          <w:bCs w:val="false"/>
          <w:i w:val="false"/>
          <w:iCs w:val="false"/>
          <w:sz w:val="24"/>
          <w:szCs w:val="24"/>
          <w:u w:val="none"/>
        </w:rPr>
      </w:r>
    </w:p>
    <w:tbl>
      <w:tblPr>
        <w:jc w:val="left"/>
        <w:tblBorders/>
      </w:tblPr>
      <w:tblGrid>
        <w:gridCol w:w="4818"/>
        <w:gridCol w:w="4819"/>
      </w:tblGrid>
      <w:tr>
        <w:trPr>
          <w:cantSplit w:val="false"/>
        </w:trPr>
        <w:tc>
          <w:tcPr>
            <w:tcW w:type="dxa" w:w="4818"/>
            <w:tcBorders/>
            <w:shd w:fill="auto" w:val="clear"/>
            <w:tcMar>
              <w:top w:type="dxa" w:w="55"/>
              <w:left w:type="dxa" w:w="55"/>
              <w:bottom w:type="dxa" w:w="55"/>
              <w:right w:type="dxa" w:w="55"/>
            </w:tcMar>
          </w:tcPr>
          <w:p>
            <w:pPr>
              <w:pStyle w:val="style20"/>
              <w:snapToGrid w:val="false"/>
              <w:jc w:val="left"/>
            </w:pPr>
            <w:r>
              <w:rPr/>
              <w:t xml:space="preserve">Red evangelizadora </w:t>
            </w:r>
            <w:r>
              <w:rPr>
                <w:b/>
                <w:bCs/>
                <w:i/>
                <w:iCs/>
              </w:rPr>
              <w:t>BUE</w:t>
            </w:r>
            <w:r>
              <w:rPr>
                <w:b/>
                <w:bCs/>
                <w:i/>
                <w:iCs/>
                <w:sz w:val="24"/>
                <w:szCs w:val="24"/>
              </w:rPr>
              <w:t>NAS NOTICIAS</w:t>
            </w:r>
          </w:p>
          <w:p>
            <w:pPr>
              <w:pStyle w:val="style20"/>
              <w:jc w:val="left"/>
            </w:pPr>
            <w:r>
              <w:rPr>
                <w:i/>
                <w:iCs/>
                <w:sz w:val="24"/>
                <w:szCs w:val="24"/>
              </w:rPr>
              <w:t>Contribuye a impulsar la renovación de la Iglesia.  Pásalo.</w:t>
            </w:r>
          </w:p>
        </w:tc>
        <w:tc>
          <w:tcPr>
            <w:tcW w:type="dxa" w:w="4819"/>
            <w:tcBorders/>
            <w:shd w:fill="auto" w:val="clear"/>
            <w:tcMar>
              <w:top w:type="dxa" w:w="55"/>
              <w:left w:type="dxa" w:w="55"/>
              <w:bottom w:type="dxa" w:w="55"/>
              <w:right w:type="dxa" w:w="55"/>
            </w:tcMar>
          </w:tcPr>
          <w:p>
            <w:pPr>
              <w:pStyle w:val="style20"/>
              <w:snapToGrid w:val="false"/>
              <w:jc w:val="right"/>
            </w:pPr>
            <w:r>
              <w:rPr>
                <w:rFonts w:ascii="Comic Sans MS" w:cs="Comic Sans MS" w:hAnsi="Comic Sans MS"/>
                <w:sz w:val="24"/>
                <w:szCs w:val="24"/>
              </w:rPr>
              <w:t>22 de junio de 2014</w:t>
            </w:r>
          </w:p>
          <w:p>
            <w:pPr>
              <w:pStyle w:val="style20"/>
              <w:jc w:val="right"/>
            </w:pPr>
            <w:r>
              <w:rPr>
                <w:rFonts w:ascii="Comic Sans MS" w:cs="Comic Sans MS" w:hAnsi="Comic Sans MS"/>
                <w:sz w:val="24"/>
                <w:szCs w:val="24"/>
              </w:rPr>
              <w:t>Cuerpo y Sangre de Cristo</w:t>
            </w:r>
          </w:p>
          <w:p>
            <w:pPr>
              <w:pStyle w:val="style20"/>
              <w:jc w:val="right"/>
            </w:pPr>
            <w:r>
              <w:rPr>
                <w:rFonts w:ascii="Comic Sans MS" w:cs="Comic Sans MS" w:hAnsi="Comic Sans MS"/>
                <w:sz w:val="24"/>
                <w:szCs w:val="24"/>
              </w:rPr>
              <w:t>Juan  6, 51-58</w:t>
            </w:r>
          </w:p>
        </w:tc>
      </w:tr>
    </w:tbl>
    <w:p>
      <w:pPr>
        <w:pStyle w:val="style0"/>
        <w:jc w:val="left"/>
      </w:pPr>
      <w:r>
        <w:rPr>
          <w:rFonts w:ascii="Comic Sans MS" w:cs="Comic Sans MS" w:hAnsi="Comic Sans MS"/>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Hindi" w:eastAsia="WenQuanYi Micro Hei" w:hAnsi="Liberation Serif"/>
      <w:color w:val="auto"/>
      <w:sz w:val="24"/>
      <w:szCs w:val="24"/>
      <w:lang w:bidi="hi-IN" w:eastAsia="zh-CN" w:val="es-ES"/>
    </w:rPr>
  </w:style>
  <w:style w:styleId="style15" w:type="paragraph">
    <w:name w:val="Encabezado"/>
    <w:basedOn w:val="style0"/>
    <w:next w:val="style16"/>
    <w:pPr>
      <w:keepNext/>
      <w:spacing w:after="120" w:before="240"/>
    </w:pPr>
    <w:rPr>
      <w:rFonts w:ascii="Liberation Sans" w:cs="Lohit Hindi" w:eastAsia="WenQuanYi Micro Hei"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Hindi"/>
    </w:rPr>
  </w:style>
  <w:style w:styleId="style18" w:type="paragraph">
    <w:name w:val="Etiqueta"/>
    <w:basedOn w:val="style0"/>
    <w:next w:val="style18"/>
    <w:pPr>
      <w:suppressLineNumbers/>
      <w:spacing w:after="120" w:before="120"/>
    </w:pPr>
    <w:rPr>
      <w:rFonts w:cs="Lohit Hindi"/>
      <w:i/>
      <w:iCs/>
      <w:sz w:val="24"/>
      <w:szCs w:val="24"/>
    </w:rPr>
  </w:style>
  <w:style w:styleId="style19" w:type="paragraph">
    <w:name w:val="Índice"/>
    <w:basedOn w:val="style0"/>
    <w:next w:val="style19"/>
    <w:pPr>
      <w:suppressLineNumbers/>
    </w:pPr>
    <w:rPr>
      <w:rFonts w:cs="Lohit Hindi"/>
    </w:rPr>
  </w:style>
  <w:style w:styleId="style20" w:type="paragraph">
    <w:name w:val="Contenido de la tabla"/>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2014-05-26T10:25:53.00Z</dcterms:created>
  <dc:creator>karmelo </dc:creator>
  <cp:revision>0</cp:revision>
</cp:coreProperties>
</file>